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/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行业信息报送操作说明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一、填报单位进入“中国工程咨询协会”官网。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二、在官网首页“业务办理”板块，点击最右侧的“综合业务管理系统”，进入系统用户登录界面（2024年开展过“统计调查填报”工作的单位，可以使用该业务账户直接登录开展本次“行业信息报送”工作）。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三、未填报过的新用户首先用“填报单位系统管理员账号”登录综合业务管理系统（该账号的用户名为“单位组织机构代码”或“单位名称”或自主修改过的“用户名”）。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四、登录后进入“用户管理”板块为承担行业信息报送工作的人员授权。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一）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已有业务用户：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（1）进入账户管理→账户授权，在业务办理人员列表中找到相关人员，点击其统计右侧的“权限”（为蓝字）；→进入“办理权限设置”界面。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（2）“业务办理”列表下全选“行业信息报送”（包括“申请填写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”“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撤回重报”两项）。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（3）“信息应用管理”列表下选择“咨询单位信息查询—信息调查表”。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（4）点击页面下方蓝字的“提交”按钮，完成授权。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 xml:space="preserve"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二）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 xml:space="preserve">新建业务用户：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（1）进入“单位组织机构及人员维护”，完成“人员信息”添加；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（2）进入“单位角色管理”，完成“业务角色”添加；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（3）进入“账户管理”→“账户创建与注销”，选择已添加的业务人员及业务角色，完成业务账户创建；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（4）进入“账户管理”→“账户授权”，为新创建的业务账户授权（同“已有业务用户”）。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五、退出“填报单位系统管理员账号”，改用已授权的“业务账号”登录（用户名为“业务人员姓名”或自主修改过的“登录名”）。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六、业务账号登录后进入“业务管理”→“行业信息报送”板块，按提示开展行业信息报送工作。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七、没有“综合业务管理系统”单位系统管理员账号的单位，请先在系统登录界面，点击登录界面右侧下方中间的“单位注册”，完成单位系统管理员账号注册后按三、四、五、六步骤开展相关工作。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八、技术及系统操作问题服务电话：010-88337628。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猫大将</dc:creator>
  <cp:lastModifiedBy>匿名</cp:lastModifiedBy>
  <cp:revision>2</cp:revision>
  <dcterms:created xsi:type="dcterms:W3CDTF">2026-01-07T09:24:00Z</dcterms:created>
  <dcterms:modified xsi:type="dcterms:W3CDTF">2026-01-08T01:50:59Z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F37E107283B142308F8766923C80E1AD_11</vt:lpwstr>
  </property>
  <property fmtid="{D5CDD505-2E9C-101B-9397-08002B2CF9AE}" pid="4" name="KSOTemplateDocerSaveRecord">
    <vt:lpwstr>eyJoZGlkIjoiMDQyOWJmZjZhMzAwODM0MWNlNmExNTBkNThmYjAwNTkiLCJ1c2VySWQiOiI0NTI5NzY1NjgifQ==</vt:lpwstr>
  </property>
</Properties>
</file>